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D49" w:rsidRPr="00126D49" w:rsidRDefault="00126D49" w:rsidP="00126D49">
      <w:pPr>
        <w:numPr>
          <w:ilvl w:val="0"/>
          <w:numId w:val="6"/>
        </w:numPr>
        <w:tabs>
          <w:tab w:val="clear" w:pos="720"/>
          <w:tab w:val="num" w:pos="360"/>
        </w:tabs>
        <w:spacing w:before="240"/>
        <w:ind w:left="360"/>
        <w:jc w:val="both"/>
        <w:rPr>
          <w:rFonts w:ascii="Arial" w:hAnsi="Arial" w:cs="Arial"/>
          <w:bCs/>
          <w:sz w:val="22"/>
          <w:szCs w:val="22"/>
        </w:rPr>
      </w:pPr>
      <w:bookmarkStart w:id="0" w:name="_GoBack"/>
      <w:bookmarkEnd w:id="0"/>
      <w:r w:rsidRPr="00126D49">
        <w:rPr>
          <w:rFonts w:ascii="Arial" w:hAnsi="Arial" w:cs="Arial"/>
          <w:bCs/>
          <w:sz w:val="22"/>
          <w:szCs w:val="22"/>
        </w:rPr>
        <w:t xml:space="preserve">In February 2008, the Environmental Protection Agency commissioned </w:t>
      </w:r>
      <w:r w:rsidR="00560D08">
        <w:rPr>
          <w:rFonts w:ascii="Arial" w:hAnsi="Arial" w:cs="Arial"/>
          <w:bCs/>
          <w:sz w:val="22"/>
          <w:szCs w:val="22"/>
        </w:rPr>
        <w:t>preparation of</w:t>
      </w:r>
      <w:r w:rsidRPr="00126D49">
        <w:rPr>
          <w:rFonts w:ascii="Arial" w:hAnsi="Arial" w:cs="Arial"/>
          <w:bCs/>
          <w:sz w:val="22"/>
          <w:szCs w:val="22"/>
        </w:rPr>
        <w:t xml:space="preserve"> a background report to inform the development of</w:t>
      </w:r>
      <w:r w:rsidR="00560D08">
        <w:rPr>
          <w:rFonts w:ascii="Arial" w:hAnsi="Arial" w:cs="Arial"/>
          <w:bCs/>
          <w:sz w:val="22"/>
          <w:szCs w:val="22"/>
        </w:rPr>
        <w:t xml:space="preserve"> </w:t>
      </w:r>
      <w:r w:rsidR="00560D08" w:rsidRPr="00126D49">
        <w:rPr>
          <w:rFonts w:ascii="Arial" w:hAnsi="Arial" w:cs="Arial"/>
          <w:bCs/>
          <w:sz w:val="22"/>
          <w:szCs w:val="22"/>
        </w:rPr>
        <w:t>an oil vulnerability mitigation strategy and action plan</w:t>
      </w:r>
      <w:r w:rsidRPr="00126D49">
        <w:rPr>
          <w:rFonts w:ascii="Arial" w:hAnsi="Arial" w:cs="Arial"/>
          <w:bCs/>
          <w:sz w:val="22"/>
          <w:szCs w:val="22"/>
        </w:rPr>
        <w:t xml:space="preserve"> </w:t>
      </w:r>
      <w:r w:rsidR="00560D08">
        <w:rPr>
          <w:rFonts w:ascii="Arial" w:hAnsi="Arial" w:cs="Arial"/>
          <w:bCs/>
          <w:sz w:val="22"/>
          <w:szCs w:val="22"/>
        </w:rPr>
        <w:t>(</w:t>
      </w:r>
      <w:r w:rsidRPr="00126D49">
        <w:rPr>
          <w:rFonts w:ascii="Arial" w:hAnsi="Arial" w:cs="Arial"/>
          <w:bCs/>
          <w:sz w:val="22"/>
          <w:szCs w:val="22"/>
        </w:rPr>
        <w:t>the Oil Strategy</w:t>
      </w:r>
      <w:r w:rsidR="00560D08">
        <w:rPr>
          <w:rFonts w:ascii="Arial" w:hAnsi="Arial" w:cs="Arial"/>
          <w:bCs/>
          <w:sz w:val="22"/>
          <w:szCs w:val="22"/>
        </w:rPr>
        <w:t>)</w:t>
      </w:r>
      <w:r w:rsidRPr="00126D49">
        <w:rPr>
          <w:rFonts w:ascii="Arial" w:hAnsi="Arial" w:cs="Arial"/>
          <w:bCs/>
          <w:sz w:val="22"/>
          <w:szCs w:val="22"/>
        </w:rPr>
        <w:t xml:space="preserve"> on the challenges and opportunities for </w:t>
      </w:r>
      <w:smartTag w:uri="urn:schemas-microsoft-com:office:smarttags" w:element="State">
        <w:smartTag w:uri="urn:schemas-microsoft-com:office:smarttags" w:element="place">
          <w:r w:rsidRPr="00126D49">
            <w:rPr>
              <w:rFonts w:ascii="Arial" w:hAnsi="Arial" w:cs="Arial"/>
              <w:bCs/>
              <w:sz w:val="22"/>
              <w:szCs w:val="22"/>
            </w:rPr>
            <w:t>Queensland</w:t>
          </w:r>
        </w:smartTag>
      </w:smartTag>
      <w:r w:rsidRPr="00126D49">
        <w:rPr>
          <w:rFonts w:ascii="Arial" w:hAnsi="Arial" w:cs="Arial"/>
          <w:bCs/>
          <w:sz w:val="22"/>
          <w:szCs w:val="22"/>
        </w:rPr>
        <w:t xml:space="preserve"> in relation to increased oil prices and possible supply shocks.  </w:t>
      </w:r>
      <w:r w:rsidR="00560D08">
        <w:rPr>
          <w:rFonts w:ascii="Arial" w:hAnsi="Arial" w:cs="Arial"/>
          <w:bCs/>
          <w:sz w:val="22"/>
          <w:szCs w:val="22"/>
        </w:rPr>
        <w:t>T</w:t>
      </w:r>
      <w:r w:rsidRPr="00126D49">
        <w:rPr>
          <w:rFonts w:ascii="Arial" w:hAnsi="Arial" w:cs="Arial"/>
          <w:bCs/>
          <w:sz w:val="22"/>
          <w:szCs w:val="22"/>
        </w:rPr>
        <w:t xml:space="preserve">he </w:t>
      </w:r>
      <w:r w:rsidR="00560D08">
        <w:rPr>
          <w:rFonts w:ascii="Arial" w:hAnsi="Arial" w:cs="Arial"/>
          <w:bCs/>
          <w:sz w:val="22"/>
          <w:szCs w:val="22"/>
        </w:rPr>
        <w:t>interim report is entitled</w:t>
      </w:r>
      <w:r w:rsidRPr="00126D49">
        <w:rPr>
          <w:rFonts w:ascii="Arial" w:hAnsi="Arial" w:cs="Arial"/>
          <w:bCs/>
          <w:sz w:val="22"/>
          <w:szCs w:val="22"/>
        </w:rPr>
        <w:t xml:space="preserve"> </w:t>
      </w:r>
      <w:r w:rsidRPr="00126D49">
        <w:rPr>
          <w:rFonts w:ascii="Arial" w:hAnsi="Arial" w:cs="Arial"/>
          <w:i/>
          <w:sz w:val="22"/>
          <w:szCs w:val="22"/>
        </w:rPr>
        <w:t>Oil Vulnerability Mitigation Strategy/Action Plan: Research Paper</w:t>
      </w:r>
      <w:r w:rsidRPr="00126D49">
        <w:rPr>
          <w:rFonts w:ascii="Arial" w:hAnsi="Arial" w:cs="Arial"/>
          <w:bCs/>
          <w:sz w:val="22"/>
          <w:szCs w:val="22"/>
        </w:rPr>
        <w:t>.</w:t>
      </w:r>
    </w:p>
    <w:p w:rsidR="00560D08" w:rsidRDefault="00126D49" w:rsidP="00126D49">
      <w:pPr>
        <w:numPr>
          <w:ilvl w:val="0"/>
          <w:numId w:val="6"/>
        </w:numPr>
        <w:tabs>
          <w:tab w:val="clear" w:pos="720"/>
          <w:tab w:val="num" w:pos="360"/>
        </w:tabs>
        <w:spacing w:before="240"/>
        <w:ind w:left="360"/>
        <w:jc w:val="both"/>
        <w:rPr>
          <w:rFonts w:ascii="Arial" w:hAnsi="Arial" w:cs="Arial"/>
          <w:sz w:val="22"/>
          <w:szCs w:val="22"/>
        </w:rPr>
      </w:pPr>
      <w:r w:rsidRPr="00126D49">
        <w:rPr>
          <w:rFonts w:ascii="Arial" w:hAnsi="Arial" w:cs="Arial"/>
          <w:sz w:val="22"/>
          <w:szCs w:val="22"/>
        </w:rPr>
        <w:t xml:space="preserve">The preliminary findings of the </w:t>
      </w:r>
      <w:r w:rsidR="00D96DCB">
        <w:rPr>
          <w:rFonts w:ascii="Arial" w:hAnsi="Arial" w:cs="Arial"/>
          <w:sz w:val="22"/>
          <w:szCs w:val="22"/>
        </w:rPr>
        <w:t>research</w:t>
      </w:r>
      <w:r w:rsidRPr="00126D49">
        <w:rPr>
          <w:rFonts w:ascii="Arial" w:hAnsi="Arial" w:cs="Arial"/>
          <w:sz w:val="22"/>
          <w:szCs w:val="22"/>
        </w:rPr>
        <w:t xml:space="preserve"> paper suggest that at a broad macroeconomic level, </w:t>
      </w:r>
      <w:smartTag w:uri="urn:schemas-microsoft-com:office:smarttags" w:element="State">
        <w:r w:rsidRPr="00126D49">
          <w:rPr>
            <w:rFonts w:ascii="Arial" w:hAnsi="Arial" w:cs="Arial"/>
            <w:sz w:val="22"/>
            <w:szCs w:val="22"/>
          </w:rPr>
          <w:t>Queensland</w:t>
        </w:r>
      </w:smartTag>
      <w:r w:rsidRPr="00126D49">
        <w:rPr>
          <w:rFonts w:ascii="Arial" w:hAnsi="Arial" w:cs="Arial"/>
          <w:sz w:val="22"/>
          <w:szCs w:val="22"/>
        </w:rPr>
        <w:t xml:space="preserve">’s rich resource endowments of gas and coal provide a natural hedge against increasing oil prices that would be reflected in improved terms of trade, economic activity and higher government revenue for </w:t>
      </w:r>
      <w:smartTag w:uri="urn:schemas-microsoft-com:office:smarttags" w:element="State">
        <w:smartTag w:uri="urn:schemas-microsoft-com:office:smarttags" w:element="place">
          <w:r w:rsidRPr="00126D49">
            <w:rPr>
              <w:rFonts w:ascii="Arial" w:hAnsi="Arial" w:cs="Arial"/>
              <w:sz w:val="22"/>
              <w:szCs w:val="22"/>
            </w:rPr>
            <w:t>Queensland</w:t>
          </w:r>
        </w:smartTag>
      </w:smartTag>
      <w:r w:rsidRPr="00126D49">
        <w:rPr>
          <w:rFonts w:ascii="Arial" w:hAnsi="Arial" w:cs="Arial"/>
          <w:sz w:val="22"/>
          <w:szCs w:val="22"/>
        </w:rPr>
        <w:t xml:space="preserve">.  </w:t>
      </w:r>
    </w:p>
    <w:p w:rsidR="00126D49" w:rsidRPr="00126D49" w:rsidRDefault="00126D49" w:rsidP="00126D49">
      <w:pPr>
        <w:numPr>
          <w:ilvl w:val="0"/>
          <w:numId w:val="6"/>
        </w:numPr>
        <w:tabs>
          <w:tab w:val="clear" w:pos="720"/>
          <w:tab w:val="num" w:pos="360"/>
        </w:tabs>
        <w:spacing w:before="240"/>
        <w:ind w:left="360"/>
        <w:jc w:val="both"/>
        <w:rPr>
          <w:rFonts w:ascii="Arial" w:hAnsi="Arial" w:cs="Arial"/>
          <w:sz w:val="22"/>
          <w:szCs w:val="22"/>
        </w:rPr>
      </w:pPr>
      <w:r w:rsidRPr="00126D49">
        <w:rPr>
          <w:rFonts w:ascii="Arial" w:hAnsi="Arial" w:cs="Arial"/>
          <w:sz w:val="22"/>
          <w:szCs w:val="22"/>
        </w:rPr>
        <w:t xml:space="preserve">The </w:t>
      </w:r>
      <w:r w:rsidR="00D96DCB">
        <w:rPr>
          <w:rFonts w:ascii="Arial" w:hAnsi="Arial" w:cs="Arial"/>
          <w:sz w:val="22"/>
          <w:szCs w:val="22"/>
        </w:rPr>
        <w:t>research</w:t>
      </w:r>
      <w:r w:rsidRPr="00126D49">
        <w:rPr>
          <w:rFonts w:ascii="Arial" w:hAnsi="Arial" w:cs="Arial"/>
          <w:sz w:val="22"/>
          <w:szCs w:val="22"/>
        </w:rPr>
        <w:t xml:space="preserve"> paper outlines the equity implications of high oil prices for vulnerable </w:t>
      </w:r>
      <w:smartTag w:uri="urn:schemas-microsoft-com:office:smarttags" w:element="place">
        <w:smartTag w:uri="urn:schemas-microsoft-com:office:smarttags" w:element="State">
          <w:r w:rsidRPr="00126D49">
            <w:rPr>
              <w:rFonts w:ascii="Arial" w:hAnsi="Arial" w:cs="Arial"/>
              <w:sz w:val="22"/>
              <w:szCs w:val="22"/>
            </w:rPr>
            <w:t>Queensland</w:t>
          </w:r>
        </w:smartTag>
      </w:smartTag>
      <w:r w:rsidRPr="00126D49">
        <w:rPr>
          <w:rFonts w:ascii="Arial" w:hAnsi="Arial" w:cs="Arial"/>
          <w:sz w:val="22"/>
          <w:szCs w:val="22"/>
        </w:rPr>
        <w:t xml:space="preserve"> industries (e.g. agriculture and air transport) and communities (e.g. low income areas).  </w:t>
      </w:r>
    </w:p>
    <w:p w:rsidR="00D96DCB" w:rsidRPr="00D96DCB" w:rsidRDefault="00126D49" w:rsidP="00126D49">
      <w:pPr>
        <w:numPr>
          <w:ilvl w:val="0"/>
          <w:numId w:val="6"/>
        </w:numPr>
        <w:tabs>
          <w:tab w:val="clear" w:pos="720"/>
          <w:tab w:val="num" w:pos="360"/>
        </w:tabs>
        <w:spacing w:before="240"/>
        <w:ind w:left="360"/>
        <w:jc w:val="both"/>
        <w:rPr>
          <w:rFonts w:ascii="Arial" w:hAnsi="Arial" w:cs="Arial"/>
          <w:bCs/>
          <w:spacing w:val="-3"/>
          <w:sz w:val="22"/>
          <w:szCs w:val="22"/>
        </w:rPr>
      </w:pPr>
      <w:r w:rsidRPr="00126D49">
        <w:rPr>
          <w:rFonts w:ascii="Arial" w:hAnsi="Arial" w:cs="Arial"/>
          <w:sz w:val="22"/>
          <w:szCs w:val="22"/>
        </w:rPr>
        <w:t xml:space="preserve">The </w:t>
      </w:r>
      <w:r w:rsidR="00D96DCB" w:rsidRPr="00126D49">
        <w:rPr>
          <w:rFonts w:ascii="Arial" w:hAnsi="Arial" w:cs="Arial"/>
          <w:bCs/>
          <w:sz w:val="22"/>
          <w:szCs w:val="22"/>
        </w:rPr>
        <w:t>Environmental Protection Agency</w:t>
      </w:r>
      <w:r w:rsidR="00D96DCB" w:rsidRPr="00126D49">
        <w:rPr>
          <w:rFonts w:ascii="Arial" w:hAnsi="Arial" w:cs="Arial"/>
          <w:sz w:val="22"/>
          <w:szCs w:val="22"/>
        </w:rPr>
        <w:t xml:space="preserve"> </w:t>
      </w:r>
      <w:r w:rsidRPr="00126D49">
        <w:rPr>
          <w:rFonts w:ascii="Arial" w:hAnsi="Arial" w:cs="Arial"/>
          <w:sz w:val="22"/>
          <w:szCs w:val="22"/>
        </w:rPr>
        <w:t xml:space="preserve">proposes to release </w:t>
      </w:r>
      <w:r w:rsidR="00DD7A6A">
        <w:rPr>
          <w:rFonts w:ascii="Arial" w:hAnsi="Arial" w:cs="Arial"/>
          <w:i/>
          <w:sz w:val="22"/>
          <w:szCs w:val="22"/>
        </w:rPr>
        <w:t>Towards</w:t>
      </w:r>
      <w:r w:rsidRPr="00126D49">
        <w:rPr>
          <w:rFonts w:ascii="Arial" w:hAnsi="Arial" w:cs="Arial"/>
          <w:i/>
          <w:sz w:val="22"/>
          <w:szCs w:val="22"/>
        </w:rPr>
        <w:t xml:space="preserve"> Oil Resilie</w:t>
      </w:r>
      <w:r w:rsidR="00DD7A6A">
        <w:rPr>
          <w:rFonts w:ascii="Arial" w:hAnsi="Arial" w:cs="Arial"/>
          <w:i/>
          <w:sz w:val="22"/>
          <w:szCs w:val="22"/>
        </w:rPr>
        <w:t>nce</w:t>
      </w:r>
      <w:r w:rsidRPr="00126D49">
        <w:rPr>
          <w:rFonts w:ascii="Arial" w:hAnsi="Arial" w:cs="Arial"/>
          <w:i/>
          <w:sz w:val="22"/>
          <w:szCs w:val="22"/>
        </w:rPr>
        <w:t>: A Community Information Paper</w:t>
      </w:r>
      <w:r w:rsidRPr="00126D49">
        <w:rPr>
          <w:rFonts w:ascii="Arial" w:hAnsi="Arial" w:cs="Arial"/>
          <w:sz w:val="22"/>
          <w:szCs w:val="22"/>
        </w:rPr>
        <w:t xml:space="preserve"> (the Information paper) at the same time as the </w:t>
      </w:r>
      <w:r w:rsidR="00D96DCB">
        <w:rPr>
          <w:rFonts w:ascii="Arial" w:hAnsi="Arial" w:cs="Arial"/>
          <w:sz w:val="22"/>
          <w:szCs w:val="22"/>
        </w:rPr>
        <w:t>research</w:t>
      </w:r>
      <w:r w:rsidRPr="00126D49">
        <w:rPr>
          <w:rFonts w:ascii="Arial" w:hAnsi="Arial" w:cs="Arial"/>
          <w:sz w:val="22"/>
          <w:szCs w:val="22"/>
        </w:rPr>
        <w:t xml:space="preserve"> paper.  The Information paper describes the issues surrounding peak oil and higher oil prices and discusses various actions that are being investigated as part of the development of the Oil Strategy to improve </w:t>
      </w:r>
      <w:smartTag w:uri="urn:schemas-microsoft-com:office:smarttags" w:element="place">
        <w:smartTag w:uri="urn:schemas-microsoft-com:office:smarttags" w:element="State">
          <w:r w:rsidRPr="00126D49">
            <w:rPr>
              <w:rFonts w:ascii="Arial" w:hAnsi="Arial" w:cs="Arial"/>
              <w:sz w:val="22"/>
              <w:szCs w:val="22"/>
            </w:rPr>
            <w:t>Queensland</w:t>
          </w:r>
        </w:smartTag>
      </w:smartTag>
      <w:r w:rsidRPr="00126D49">
        <w:rPr>
          <w:rFonts w:ascii="Arial" w:hAnsi="Arial" w:cs="Arial"/>
          <w:sz w:val="22"/>
          <w:szCs w:val="22"/>
        </w:rPr>
        <w:t xml:space="preserve">’s resilience to high oil prices and reduced supply. </w:t>
      </w:r>
    </w:p>
    <w:p w:rsidR="00126D49" w:rsidRPr="00126D49" w:rsidRDefault="00126D49" w:rsidP="00126D49">
      <w:pPr>
        <w:numPr>
          <w:ilvl w:val="0"/>
          <w:numId w:val="6"/>
        </w:numPr>
        <w:tabs>
          <w:tab w:val="clear" w:pos="720"/>
          <w:tab w:val="num" w:pos="360"/>
        </w:tabs>
        <w:spacing w:before="240"/>
        <w:ind w:left="360"/>
        <w:jc w:val="both"/>
        <w:rPr>
          <w:rFonts w:ascii="Arial" w:hAnsi="Arial" w:cs="Arial"/>
          <w:bCs/>
          <w:spacing w:val="-3"/>
          <w:sz w:val="22"/>
          <w:szCs w:val="22"/>
        </w:rPr>
      </w:pPr>
      <w:r w:rsidRPr="00126D49">
        <w:rPr>
          <w:rFonts w:ascii="Arial" w:hAnsi="Arial" w:cs="Arial"/>
          <w:sz w:val="22"/>
          <w:szCs w:val="22"/>
        </w:rPr>
        <w:t xml:space="preserve">The Information paper is designed to complement the </w:t>
      </w:r>
      <w:r w:rsidR="00D96DCB">
        <w:rPr>
          <w:rFonts w:ascii="Arial" w:hAnsi="Arial" w:cs="Arial"/>
          <w:sz w:val="22"/>
          <w:szCs w:val="22"/>
        </w:rPr>
        <w:t>research</w:t>
      </w:r>
      <w:r w:rsidRPr="00126D49">
        <w:rPr>
          <w:rFonts w:ascii="Arial" w:hAnsi="Arial" w:cs="Arial"/>
          <w:sz w:val="22"/>
          <w:szCs w:val="22"/>
        </w:rPr>
        <w:t xml:space="preserve"> paper and is intended to raise awareness of the issues within the community.  This Information paper broadly discusses potential actions to address oil vulnerability and recognises that other government policy initiatives on climate change, congestion management and alternative fuels have a relationship to the development of the Oil Strategy.  Release of the Information paper will also provide an opportunity for the public to provide comment about the issue and potential solutions to help inform the Oil Strategy</w:t>
      </w:r>
    </w:p>
    <w:p w:rsidR="00514197" w:rsidRPr="00514197"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00514197" w:rsidRPr="00514197">
        <w:rPr>
          <w:rFonts w:ascii="Arial" w:hAnsi="Arial" w:cs="Arial"/>
          <w:sz w:val="22"/>
          <w:szCs w:val="22"/>
          <w:lang w:val="en-US"/>
        </w:rPr>
        <w:t xml:space="preserve">the background report </w:t>
      </w:r>
      <w:r w:rsidR="00514197" w:rsidRPr="00514197">
        <w:rPr>
          <w:rFonts w:ascii="Arial" w:hAnsi="Arial" w:cs="Arial"/>
          <w:i/>
          <w:iCs/>
          <w:sz w:val="22"/>
          <w:szCs w:val="22"/>
          <w:lang w:val="en-US"/>
        </w:rPr>
        <w:t>Oil Vulnerability Mitigation Strategy/Action Plan: Research Paper</w:t>
      </w:r>
      <w:r w:rsidR="00514197" w:rsidRPr="00514197">
        <w:rPr>
          <w:rFonts w:ascii="Arial" w:hAnsi="Arial" w:cs="Arial"/>
          <w:sz w:val="22"/>
          <w:szCs w:val="22"/>
          <w:lang w:val="en-US"/>
        </w:rPr>
        <w:t xml:space="preserve"> on the effects and opportunities for Queensland in relation to increased oil prices and the peak oil effect and</w:t>
      </w:r>
      <w:r w:rsidR="00514197">
        <w:rPr>
          <w:rFonts w:ascii="Arial" w:hAnsi="Arial" w:cs="Arial"/>
          <w:sz w:val="22"/>
          <w:szCs w:val="22"/>
          <w:lang w:val="en-US"/>
        </w:rPr>
        <w:t xml:space="preserve"> the information paper</w:t>
      </w:r>
      <w:r w:rsidR="00514197" w:rsidRPr="00514197">
        <w:rPr>
          <w:rFonts w:ascii="Arial" w:hAnsi="Arial" w:cs="Arial"/>
          <w:sz w:val="22"/>
          <w:szCs w:val="22"/>
          <w:lang w:val="en-US"/>
        </w:rPr>
        <w:t xml:space="preserve"> </w:t>
      </w:r>
      <w:r w:rsidR="00514197" w:rsidRPr="00514197">
        <w:rPr>
          <w:rFonts w:ascii="Arial" w:hAnsi="Arial" w:cs="Arial"/>
          <w:i/>
          <w:iCs/>
          <w:sz w:val="22"/>
          <w:szCs w:val="22"/>
          <w:lang w:val="en-US"/>
        </w:rPr>
        <w:t>Preparing for an Oil Resilient Future: A Community Information Paper</w:t>
      </w:r>
      <w:r w:rsidR="00514197">
        <w:rPr>
          <w:rFonts w:ascii="Arial" w:hAnsi="Arial" w:cs="Arial"/>
          <w:i/>
          <w:iCs/>
          <w:sz w:val="22"/>
          <w:szCs w:val="22"/>
          <w:lang w:val="en-US"/>
        </w:rPr>
        <w:t>.</w:t>
      </w:r>
    </w:p>
    <w:p w:rsidR="00CE6FBA" w:rsidRPr="00CE6FBA" w:rsidRDefault="00514197"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Pr="00514197">
        <w:rPr>
          <w:rFonts w:ascii="Arial" w:hAnsi="Arial" w:cs="Arial"/>
          <w:sz w:val="22"/>
          <w:szCs w:val="22"/>
          <w:lang w:val="en-US"/>
        </w:rPr>
        <w:t xml:space="preserve">that the Environmental Protection Agency publish the </w:t>
      </w:r>
      <w:r w:rsidRPr="00514197">
        <w:rPr>
          <w:rFonts w:ascii="Arial" w:hAnsi="Arial" w:cs="Arial"/>
          <w:i/>
          <w:iCs/>
          <w:sz w:val="22"/>
          <w:szCs w:val="22"/>
          <w:lang w:val="en-US"/>
        </w:rPr>
        <w:t>Oil Vulnerability Mitigation Strategy/Action Plan: Research Paper</w:t>
      </w:r>
      <w:r w:rsidRPr="00514197">
        <w:rPr>
          <w:rFonts w:ascii="Arial" w:hAnsi="Arial" w:cs="Arial"/>
          <w:sz w:val="22"/>
          <w:szCs w:val="22"/>
          <w:lang w:val="en-US"/>
        </w:rPr>
        <w:t xml:space="preserve"> and the </w:t>
      </w:r>
      <w:r w:rsidR="00DD7A6A">
        <w:rPr>
          <w:rFonts w:ascii="Arial" w:hAnsi="Arial" w:cs="Arial"/>
          <w:i/>
          <w:sz w:val="22"/>
          <w:szCs w:val="22"/>
        </w:rPr>
        <w:t>Towards</w:t>
      </w:r>
      <w:r w:rsidR="00DD7A6A" w:rsidRPr="00126D49">
        <w:rPr>
          <w:rFonts w:ascii="Arial" w:hAnsi="Arial" w:cs="Arial"/>
          <w:i/>
          <w:sz w:val="22"/>
          <w:szCs w:val="22"/>
        </w:rPr>
        <w:t xml:space="preserve"> Oil Resilie</w:t>
      </w:r>
      <w:r w:rsidR="00DD7A6A">
        <w:rPr>
          <w:rFonts w:ascii="Arial" w:hAnsi="Arial" w:cs="Arial"/>
          <w:i/>
          <w:sz w:val="22"/>
          <w:szCs w:val="22"/>
        </w:rPr>
        <w:t>nce</w:t>
      </w:r>
      <w:r w:rsidR="00DD7A6A" w:rsidRPr="00126D49">
        <w:rPr>
          <w:rFonts w:ascii="Arial" w:hAnsi="Arial" w:cs="Arial"/>
          <w:i/>
          <w:sz w:val="22"/>
          <w:szCs w:val="22"/>
        </w:rPr>
        <w:t xml:space="preserve">: </w:t>
      </w:r>
      <w:r w:rsidRPr="00514197">
        <w:rPr>
          <w:rFonts w:ascii="Arial" w:hAnsi="Arial" w:cs="Arial"/>
          <w:i/>
          <w:iCs/>
          <w:sz w:val="22"/>
          <w:szCs w:val="22"/>
          <w:lang w:val="en-US"/>
        </w:rPr>
        <w:t>A Community Information Paper</w:t>
      </w:r>
      <w:r w:rsidRPr="00514197">
        <w:rPr>
          <w:rFonts w:ascii="Arial" w:hAnsi="Arial" w:cs="Arial"/>
          <w:sz w:val="22"/>
          <w:szCs w:val="22"/>
          <w:lang w:val="en-US"/>
        </w:rPr>
        <w:t xml:space="preserve"> on its website for public comment</w:t>
      </w:r>
      <w:r>
        <w:rPr>
          <w:rFonts w:ascii="Arial" w:hAnsi="Arial" w:cs="Arial"/>
          <w:sz w:val="22"/>
          <w:szCs w:val="22"/>
        </w:rPr>
        <w:t>.</w:t>
      </w:r>
    </w:p>
    <w:p w:rsidR="00EA00BF" w:rsidRDefault="00EA00BF" w:rsidP="00EA00BF">
      <w:pPr>
        <w:jc w:val="both"/>
        <w:rPr>
          <w:rFonts w:ascii="Arial" w:hAnsi="Arial" w:cs="Arial"/>
          <w:sz w:val="22"/>
          <w:szCs w:val="22"/>
        </w:rPr>
      </w:pPr>
    </w:p>
    <w:p w:rsidR="00C155A7" w:rsidRPr="00C07656" w:rsidRDefault="00C155A7"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18701A" w:rsidRDefault="00F54895" w:rsidP="00C155A7">
      <w:pPr>
        <w:numPr>
          <w:ilvl w:val="0"/>
          <w:numId w:val="8"/>
        </w:numPr>
        <w:spacing w:before="120"/>
        <w:ind w:left="811"/>
        <w:jc w:val="both"/>
        <w:rPr>
          <w:rFonts w:ascii="Arial" w:hAnsi="Arial" w:cs="Arial"/>
          <w:sz w:val="22"/>
          <w:szCs w:val="22"/>
        </w:rPr>
      </w:pPr>
      <w:hyperlink r:id="rId7" w:history="1">
        <w:r w:rsidR="0018701A" w:rsidRPr="009F67E3">
          <w:rPr>
            <w:rStyle w:val="Hyperlink"/>
            <w:rFonts w:ascii="Arial" w:hAnsi="Arial" w:cs="Arial"/>
            <w:i/>
            <w:iCs/>
            <w:sz w:val="22"/>
            <w:szCs w:val="22"/>
            <w:lang w:val="en-US"/>
          </w:rPr>
          <w:t>Oil Vulnerability Mitigation Strategy/Action Plan: Research Paper</w:t>
        </w:r>
        <w:r w:rsidR="0018701A" w:rsidRPr="009F67E3">
          <w:rPr>
            <w:rStyle w:val="Hyperlink"/>
            <w:rFonts w:ascii="Arial" w:hAnsi="Arial" w:cs="Arial"/>
            <w:sz w:val="22"/>
            <w:szCs w:val="22"/>
          </w:rPr>
          <w:t xml:space="preserve"> </w:t>
        </w:r>
      </w:hyperlink>
    </w:p>
    <w:p w:rsidR="000B545C" w:rsidRPr="00C07656" w:rsidRDefault="00F54895" w:rsidP="00C155A7">
      <w:pPr>
        <w:numPr>
          <w:ilvl w:val="0"/>
          <w:numId w:val="8"/>
        </w:numPr>
        <w:spacing w:before="120"/>
        <w:ind w:left="811"/>
        <w:rPr>
          <w:rFonts w:ascii="Arial" w:hAnsi="Arial" w:cs="Arial"/>
          <w:sz w:val="22"/>
          <w:szCs w:val="22"/>
        </w:rPr>
      </w:pPr>
      <w:hyperlink r:id="rId8" w:history="1">
        <w:r w:rsidR="0018701A" w:rsidRPr="009F67E3">
          <w:rPr>
            <w:rStyle w:val="Hyperlink"/>
            <w:rFonts w:ascii="Arial" w:hAnsi="Arial" w:cs="Arial"/>
            <w:i/>
            <w:sz w:val="22"/>
            <w:szCs w:val="22"/>
          </w:rPr>
          <w:t xml:space="preserve">Towards Oil Resilience: </w:t>
        </w:r>
        <w:r w:rsidR="0018701A" w:rsidRPr="009F67E3">
          <w:rPr>
            <w:rStyle w:val="Hyperlink"/>
            <w:rFonts w:ascii="Arial" w:hAnsi="Arial" w:cs="Arial"/>
            <w:i/>
            <w:iCs/>
            <w:sz w:val="22"/>
            <w:szCs w:val="22"/>
            <w:lang w:val="en-US"/>
          </w:rPr>
          <w:t>A Community Information Paper</w:t>
        </w:r>
      </w:hyperlink>
    </w:p>
    <w:p w:rsidR="000B545C" w:rsidRPr="00C07656" w:rsidRDefault="000B545C">
      <w:pPr>
        <w:rPr>
          <w:rFonts w:ascii="Arial" w:hAnsi="Arial" w:cs="Arial"/>
          <w:sz w:val="22"/>
          <w:szCs w:val="22"/>
        </w:rPr>
      </w:pPr>
    </w:p>
    <w:sectPr w:rsidR="000B545C" w:rsidRPr="00C07656" w:rsidSect="00644076">
      <w:headerReference w:type="default" r:id="rId9"/>
      <w:footerReference w:type="default" r:id="rId10"/>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B8D" w:rsidRDefault="00733B8D">
      <w:r>
        <w:separator/>
      </w:r>
    </w:p>
  </w:endnote>
  <w:endnote w:type="continuationSeparator" w:id="0">
    <w:p w:rsidR="00733B8D" w:rsidRDefault="007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E3" w:rsidRPr="001141E1" w:rsidRDefault="009F67E3" w:rsidP="001141E1">
    <w:pPr>
      <w:pStyle w:val="Footer"/>
      <w:tabs>
        <w:tab w:val="clear" w:pos="8306"/>
        <w:tab w:val="right" w:pos="8820"/>
      </w:tabs>
      <w:rPr>
        <w:rFonts w:ascii="Arial" w:hAnsi="Arial" w:cs="Arial"/>
        <w:sz w:val="16"/>
        <w:szCs w:val="16"/>
      </w:rPr>
    </w:pPr>
    <w:r>
      <w:rPr>
        <w:rFonts w:ascii="Arial" w:hAnsi="Arial" w:cs="Arial"/>
        <w:sz w:val="16"/>
        <w:szCs w:val="16"/>
      </w:rPr>
      <w:tab/>
    </w: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B8D" w:rsidRDefault="00733B8D">
      <w:r>
        <w:separator/>
      </w:r>
    </w:p>
  </w:footnote>
  <w:footnote w:type="continuationSeparator" w:id="0">
    <w:p w:rsidR="00733B8D" w:rsidRDefault="00733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E3" w:rsidRPr="000400F9" w:rsidRDefault="00FB0F00" w:rsidP="00996634">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9F67E3" w:rsidRPr="000400F9">
      <w:rPr>
        <w:rFonts w:ascii="Arial" w:hAnsi="Arial" w:cs="Arial"/>
        <w:b/>
        <w:sz w:val="22"/>
        <w:szCs w:val="22"/>
        <w:u w:val="single"/>
      </w:rPr>
      <w:t xml:space="preserve">Cabinet – </w:t>
    </w:r>
    <w:r w:rsidR="009F67E3">
      <w:rPr>
        <w:rFonts w:ascii="Arial" w:hAnsi="Arial" w:cs="Arial"/>
        <w:b/>
        <w:sz w:val="22"/>
        <w:szCs w:val="22"/>
        <w:u w:val="single"/>
      </w:rPr>
      <w:t>September 2008</w:t>
    </w:r>
  </w:p>
  <w:p w:rsidR="009F67E3" w:rsidRDefault="009F67E3" w:rsidP="000400F9">
    <w:pPr>
      <w:pStyle w:val="Header"/>
      <w:spacing w:before="120"/>
      <w:rPr>
        <w:rFonts w:ascii="Arial" w:hAnsi="Arial" w:cs="Arial"/>
        <w:b/>
        <w:sz w:val="22"/>
        <w:szCs w:val="22"/>
        <w:u w:val="single"/>
      </w:rPr>
    </w:pPr>
    <w:r w:rsidRPr="00941A7C">
      <w:rPr>
        <w:rFonts w:ascii="Arial" w:hAnsi="Arial" w:cs="Arial"/>
        <w:b/>
        <w:sz w:val="22"/>
        <w:szCs w:val="22"/>
        <w:u w:val="single"/>
      </w:rPr>
      <w:t>Oil vulnerability mitigation strategy and action plan update</w:t>
    </w:r>
  </w:p>
  <w:p w:rsidR="009F67E3" w:rsidRDefault="009F67E3" w:rsidP="000400F9">
    <w:pPr>
      <w:pStyle w:val="Header"/>
      <w:spacing w:before="120"/>
      <w:rPr>
        <w:rFonts w:ascii="Arial" w:hAnsi="Arial" w:cs="Arial"/>
        <w:b/>
        <w:sz w:val="22"/>
        <w:szCs w:val="22"/>
        <w:u w:val="single"/>
      </w:rPr>
    </w:pPr>
    <w:r w:rsidRPr="00941A7C">
      <w:rPr>
        <w:rFonts w:ascii="Arial" w:hAnsi="Arial" w:cs="Arial"/>
        <w:b/>
        <w:sz w:val="22"/>
        <w:szCs w:val="22"/>
        <w:u w:val="single"/>
      </w:rPr>
      <w:t>Minister for Sustainability, Climate</w:t>
    </w:r>
    <w:r w:rsidR="00C155A7">
      <w:rPr>
        <w:rFonts w:ascii="Arial" w:hAnsi="Arial" w:cs="Arial"/>
        <w:b/>
        <w:sz w:val="22"/>
        <w:szCs w:val="22"/>
        <w:u w:val="single"/>
      </w:rPr>
      <w:t xml:space="preserve"> Change</w:t>
    </w:r>
    <w:r w:rsidRPr="00941A7C">
      <w:rPr>
        <w:rFonts w:ascii="Arial" w:hAnsi="Arial" w:cs="Arial"/>
        <w:b/>
        <w:sz w:val="22"/>
        <w:szCs w:val="22"/>
        <w:u w:val="single"/>
      </w:rPr>
      <w:t xml:space="preserve"> and Innovation</w:t>
    </w:r>
  </w:p>
  <w:p w:rsidR="009F67E3" w:rsidRPr="000400F9" w:rsidRDefault="009F67E3"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2F1C72"/>
    <w:multiLevelType w:val="multilevel"/>
    <w:tmpl w:val="677EB4DA"/>
    <w:lvl w:ilvl="0">
      <w:start w:val="1"/>
      <w:numFmt w:val="lowerLetter"/>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427D55"/>
    <w:multiLevelType w:val="hybridMultilevel"/>
    <w:tmpl w:val="A34AE7C4"/>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9"/>
  </w:num>
  <w:num w:numId="4">
    <w:abstractNumId w:val="2"/>
  </w:num>
  <w:num w:numId="5">
    <w:abstractNumId w:val="1"/>
  </w:num>
  <w:num w:numId="6">
    <w:abstractNumId w:val="11"/>
  </w:num>
  <w:num w:numId="7">
    <w:abstractNumId w:val="10"/>
  </w:num>
  <w:num w:numId="8">
    <w:abstractNumId w:val="8"/>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7C"/>
    <w:rsid w:val="00021B34"/>
    <w:rsid w:val="000400F9"/>
    <w:rsid w:val="000B545C"/>
    <w:rsid w:val="0010565F"/>
    <w:rsid w:val="001141E1"/>
    <w:rsid w:val="00126D49"/>
    <w:rsid w:val="00133013"/>
    <w:rsid w:val="00133A34"/>
    <w:rsid w:val="00160524"/>
    <w:rsid w:val="0018701A"/>
    <w:rsid w:val="001A1CE4"/>
    <w:rsid w:val="001F0F43"/>
    <w:rsid w:val="00254E35"/>
    <w:rsid w:val="0028053C"/>
    <w:rsid w:val="002F57E4"/>
    <w:rsid w:val="0032048B"/>
    <w:rsid w:val="0034588E"/>
    <w:rsid w:val="00346156"/>
    <w:rsid w:val="003657E4"/>
    <w:rsid w:val="00382380"/>
    <w:rsid w:val="003A269C"/>
    <w:rsid w:val="003C3732"/>
    <w:rsid w:val="00435BE5"/>
    <w:rsid w:val="0048019C"/>
    <w:rsid w:val="00486A99"/>
    <w:rsid w:val="004E6C38"/>
    <w:rsid w:val="00514197"/>
    <w:rsid w:val="00560D08"/>
    <w:rsid w:val="0056401D"/>
    <w:rsid w:val="005B1D9B"/>
    <w:rsid w:val="005B4CA1"/>
    <w:rsid w:val="006100CC"/>
    <w:rsid w:val="00644076"/>
    <w:rsid w:val="006631CF"/>
    <w:rsid w:val="006B2E69"/>
    <w:rsid w:val="006B3B54"/>
    <w:rsid w:val="006D0869"/>
    <w:rsid w:val="006E6713"/>
    <w:rsid w:val="007060D7"/>
    <w:rsid w:val="00726F36"/>
    <w:rsid w:val="00730352"/>
    <w:rsid w:val="00733B8D"/>
    <w:rsid w:val="00740DC3"/>
    <w:rsid w:val="0075349C"/>
    <w:rsid w:val="007A25F4"/>
    <w:rsid w:val="007A6599"/>
    <w:rsid w:val="007F52D6"/>
    <w:rsid w:val="00801AA0"/>
    <w:rsid w:val="00807FC8"/>
    <w:rsid w:val="0082040E"/>
    <w:rsid w:val="00845D3E"/>
    <w:rsid w:val="008A0698"/>
    <w:rsid w:val="008A5F1B"/>
    <w:rsid w:val="008B7E17"/>
    <w:rsid w:val="008E1B14"/>
    <w:rsid w:val="008F44CD"/>
    <w:rsid w:val="00922A5B"/>
    <w:rsid w:val="00941A7C"/>
    <w:rsid w:val="00996634"/>
    <w:rsid w:val="009A774C"/>
    <w:rsid w:val="009B6B88"/>
    <w:rsid w:val="009D0C12"/>
    <w:rsid w:val="009D3B4A"/>
    <w:rsid w:val="009F5476"/>
    <w:rsid w:val="009F67E3"/>
    <w:rsid w:val="00A20C0E"/>
    <w:rsid w:val="00A22F0D"/>
    <w:rsid w:val="00A30F55"/>
    <w:rsid w:val="00A33B6C"/>
    <w:rsid w:val="00A650C1"/>
    <w:rsid w:val="00AA128C"/>
    <w:rsid w:val="00AB6637"/>
    <w:rsid w:val="00AD405B"/>
    <w:rsid w:val="00AE1995"/>
    <w:rsid w:val="00B40BDF"/>
    <w:rsid w:val="00B8231E"/>
    <w:rsid w:val="00BD1798"/>
    <w:rsid w:val="00C07656"/>
    <w:rsid w:val="00C155A7"/>
    <w:rsid w:val="00C85B71"/>
    <w:rsid w:val="00CE6FBA"/>
    <w:rsid w:val="00D662D9"/>
    <w:rsid w:val="00D96DCB"/>
    <w:rsid w:val="00DD3CD5"/>
    <w:rsid w:val="00DD497C"/>
    <w:rsid w:val="00DD7A6A"/>
    <w:rsid w:val="00E463C2"/>
    <w:rsid w:val="00E46636"/>
    <w:rsid w:val="00E623A8"/>
    <w:rsid w:val="00EA00BF"/>
    <w:rsid w:val="00ED1631"/>
    <w:rsid w:val="00F21BFA"/>
    <w:rsid w:val="00F54895"/>
    <w:rsid w:val="00F756F8"/>
    <w:rsid w:val="00FB0F00"/>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9F6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Oil%20Vulnerability%20Info%20Paper%20Toward%20Oil%20Resilience.pdf" TargetMode="External"/><Relationship Id="rId3" Type="http://schemas.openxmlformats.org/officeDocument/2006/relationships/settings" Target="settings.xml"/><Relationship Id="rId7" Type="http://schemas.openxmlformats.org/officeDocument/2006/relationships/hyperlink" Target="attachments/Oil%20Vulnerability%20Action%20Plan%20Queensland%20Research%20Pap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2254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2637</CharactersWithSpaces>
  <SharedDoc>false</SharedDoc>
  <HyperlinkBase>https://www.cabinet.qld.gov.au/documents/2008/Sep/oil vulnerability mitigation/</HyperlinkBase>
  <HLinks>
    <vt:vector size="12" baseType="variant">
      <vt:variant>
        <vt:i4>2752545</vt:i4>
      </vt:variant>
      <vt:variant>
        <vt:i4>3</vt:i4>
      </vt:variant>
      <vt:variant>
        <vt:i4>0</vt:i4>
      </vt:variant>
      <vt:variant>
        <vt:i4>5</vt:i4>
      </vt:variant>
      <vt:variant>
        <vt:lpwstr>attachments/Oil Vulnerability Info Paper Toward Oil Resilience.pdf</vt:lpwstr>
      </vt:variant>
      <vt:variant>
        <vt:lpwstr/>
      </vt:variant>
      <vt:variant>
        <vt:i4>6750330</vt:i4>
      </vt:variant>
      <vt:variant>
        <vt:i4>0</vt:i4>
      </vt:variant>
      <vt:variant>
        <vt:i4>0</vt:i4>
      </vt:variant>
      <vt:variant>
        <vt:i4>5</vt:i4>
      </vt:variant>
      <vt:variant>
        <vt:lpwstr>attachments/Oil Vulnerability Action Plan Queensland Research Paper.pdf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2008-11-14T04:04:00Z</cp:lastPrinted>
  <dcterms:created xsi:type="dcterms:W3CDTF">2017-10-24T07:47:00Z</dcterms:created>
  <dcterms:modified xsi:type="dcterms:W3CDTF">2018-03-06T00:54:00Z</dcterms:modified>
  <cp:category>Fuel,Oil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